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62" w:rsidRDefault="00BD6F62" w:rsidP="002D657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-14605</wp:posOffset>
            </wp:positionV>
            <wp:extent cx="1261745" cy="1036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F62" w:rsidRPr="00BD6F62" w:rsidRDefault="00BD6F62" w:rsidP="00BD6F62">
      <w:pPr>
        <w:ind w:left="2832"/>
        <w:jc w:val="center"/>
        <w:rPr>
          <w:b/>
          <w:sz w:val="28"/>
          <w:szCs w:val="28"/>
          <w:u w:val="single"/>
        </w:rPr>
      </w:pPr>
      <w:r w:rsidRPr="00BD6F62">
        <w:rPr>
          <w:b/>
          <w:sz w:val="28"/>
          <w:szCs w:val="28"/>
          <w:u w:val="single"/>
        </w:rPr>
        <w:t>Compte rendu pour l’entretien professionnel des AESH</w:t>
      </w:r>
    </w:p>
    <w:p w:rsidR="00BD6F62" w:rsidRDefault="00BD6F62" w:rsidP="002D6570"/>
    <w:p w:rsidR="00BD6F62" w:rsidRDefault="00BD6F62" w:rsidP="002D6570"/>
    <w:p w:rsidR="002D6570" w:rsidRPr="00BD6F62" w:rsidRDefault="002D6570" w:rsidP="002D6570">
      <w:pPr>
        <w:rPr>
          <w:u w:val="single"/>
        </w:rPr>
      </w:pPr>
      <w:r w:rsidRPr="00BD6F62">
        <w:rPr>
          <w:u w:val="single"/>
        </w:rPr>
        <w:t>Date de l’entretien professionnel :</w:t>
      </w:r>
      <w:r w:rsidR="00BD6F62" w:rsidRPr="00BD6F62">
        <w:rPr>
          <w:u w:val="single"/>
        </w:rPr>
        <w:tab/>
      </w:r>
      <w:r w:rsidR="00BD6F62" w:rsidRPr="00BD6F62">
        <w:rPr>
          <w:u w:val="single"/>
        </w:rPr>
        <w:tab/>
      </w:r>
      <w:r w:rsidR="00BD6F62" w:rsidRPr="00BD6F62">
        <w:rPr>
          <w:u w:val="single"/>
        </w:rPr>
        <w:tab/>
      </w:r>
      <w:r w:rsidR="00BD6F62" w:rsidRPr="00BD6F62">
        <w:rPr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D6F62" w:rsidTr="00BD6F62">
        <w:tc>
          <w:tcPr>
            <w:tcW w:w="8784" w:type="dxa"/>
          </w:tcPr>
          <w:p w:rsidR="00BD6F62" w:rsidRDefault="00BD6F62" w:rsidP="00BD6F62">
            <w:r>
              <w:t>Agent :</w:t>
            </w:r>
          </w:p>
        </w:tc>
      </w:tr>
      <w:tr w:rsidR="00BD6F62" w:rsidTr="00BD6F62">
        <w:tc>
          <w:tcPr>
            <w:tcW w:w="8784" w:type="dxa"/>
          </w:tcPr>
          <w:p w:rsidR="00BD6F62" w:rsidRDefault="00BD6F62" w:rsidP="002D6570">
            <w:r>
              <w:t>Nom :</w:t>
            </w:r>
          </w:p>
        </w:tc>
      </w:tr>
      <w:tr w:rsidR="00BD6F62" w:rsidTr="00BD6F62">
        <w:tc>
          <w:tcPr>
            <w:tcW w:w="8784" w:type="dxa"/>
          </w:tcPr>
          <w:p w:rsidR="00BD6F62" w:rsidRDefault="00BD6F62" w:rsidP="002D6570">
            <w:r>
              <w:t>Prénom :</w:t>
            </w:r>
          </w:p>
        </w:tc>
      </w:tr>
      <w:tr w:rsidR="00BD6F62" w:rsidTr="00BD6F62">
        <w:tc>
          <w:tcPr>
            <w:tcW w:w="8784" w:type="dxa"/>
          </w:tcPr>
          <w:p w:rsidR="00BD6F62" w:rsidRDefault="00BD6F62" w:rsidP="002D6570">
            <w:r>
              <w:t>Date de naissance :</w:t>
            </w:r>
          </w:p>
        </w:tc>
      </w:tr>
      <w:tr w:rsidR="00C225CF" w:rsidTr="00BD6F62">
        <w:tc>
          <w:tcPr>
            <w:tcW w:w="8784" w:type="dxa"/>
          </w:tcPr>
          <w:p w:rsidR="00C225CF" w:rsidRDefault="00C225CF" w:rsidP="002D6570">
            <w:r>
              <w:t>Adresse mail professionnelle :</w:t>
            </w:r>
          </w:p>
          <w:p w:rsidR="00C225CF" w:rsidRDefault="00C225CF" w:rsidP="002D6570">
            <w:r>
              <w:t>Adresse mail personnelle (à défaut</w:t>
            </w:r>
            <w:bookmarkStart w:id="0" w:name="_GoBack"/>
            <w:bookmarkEnd w:id="0"/>
            <w:r>
              <w:t>)</w:t>
            </w:r>
          </w:p>
        </w:tc>
      </w:tr>
    </w:tbl>
    <w:p w:rsidR="00BD6F62" w:rsidRDefault="00BD6F62" w:rsidP="002D6570"/>
    <w:p w:rsidR="00BD6F62" w:rsidRPr="00BD6F62" w:rsidRDefault="00BD6F62" w:rsidP="002D6570">
      <w:pPr>
        <w:rPr>
          <w:u w:val="single"/>
        </w:rPr>
      </w:pPr>
      <w:r w:rsidRPr="00BD6F62">
        <w:rPr>
          <w:u w:val="single"/>
        </w:rPr>
        <w:t>Supérieur fonctionnel :</w:t>
      </w:r>
      <w:r w:rsidRPr="00BD6F62">
        <w:rPr>
          <w:u w:val="single"/>
        </w:rPr>
        <w:tab/>
      </w:r>
      <w:r w:rsidRPr="00BD6F62">
        <w:rPr>
          <w:u w:val="single"/>
        </w:rPr>
        <w:tab/>
      </w:r>
      <w:r w:rsidRPr="00BD6F62">
        <w:rPr>
          <w:u w:val="single"/>
        </w:rPr>
        <w:tab/>
      </w:r>
      <w:r w:rsidRPr="00BD6F62">
        <w:rPr>
          <w:u w:val="single"/>
        </w:rPr>
        <w:tab/>
      </w:r>
      <w:r w:rsidRPr="00BD6F62">
        <w:rPr>
          <w:u w:val="single"/>
        </w:rPr>
        <w:tab/>
      </w:r>
    </w:p>
    <w:p w:rsidR="00BD6F62" w:rsidRPr="00BD6F62" w:rsidRDefault="00BD6F62" w:rsidP="002D6570">
      <w:pPr>
        <w:rPr>
          <w:u w:val="single"/>
        </w:rPr>
      </w:pPr>
      <w:r w:rsidRPr="00BD6F62">
        <w:rPr>
          <w:u w:val="single"/>
        </w:rPr>
        <w:t>Supérieur hiérarchique :</w:t>
      </w:r>
      <w:r w:rsidRPr="00BD6F62">
        <w:rPr>
          <w:u w:val="single"/>
        </w:rPr>
        <w:tab/>
      </w:r>
      <w:r w:rsidRPr="00BD6F62">
        <w:rPr>
          <w:u w:val="single"/>
        </w:rPr>
        <w:tab/>
      </w:r>
      <w:r w:rsidRPr="00BD6F62">
        <w:rPr>
          <w:u w:val="single"/>
        </w:rPr>
        <w:tab/>
      </w:r>
      <w:r w:rsidRPr="00BD6F62">
        <w:rPr>
          <w:u w:val="single"/>
        </w:rPr>
        <w:tab/>
      </w:r>
    </w:p>
    <w:p w:rsidR="00BD6F62" w:rsidRDefault="00BD6F62" w:rsidP="002D6570"/>
    <w:p w:rsidR="002D6570" w:rsidRPr="00BD6F62" w:rsidRDefault="002D6570" w:rsidP="002D6570">
      <w:pPr>
        <w:rPr>
          <w:b/>
          <w:u w:val="single"/>
        </w:rPr>
      </w:pPr>
      <w:r w:rsidRPr="00BD6F62">
        <w:rPr>
          <w:b/>
          <w:u w:val="single"/>
        </w:rPr>
        <w:t>1 - Description du poste occupé par l’agent</w:t>
      </w:r>
    </w:p>
    <w:p w:rsidR="002D6570" w:rsidRDefault="002D6570" w:rsidP="002D6570">
      <w:r>
        <w:t>- Structure :</w:t>
      </w:r>
    </w:p>
    <w:p w:rsidR="002D6570" w:rsidRDefault="002D6570" w:rsidP="002D6570">
      <w:r>
        <w:t>- Intitulé du poste :</w:t>
      </w:r>
    </w:p>
    <w:p w:rsidR="002D6570" w:rsidRDefault="002D6570" w:rsidP="002D6570">
      <w:r>
        <w:t>- Date d’affectation :</w:t>
      </w:r>
    </w:p>
    <w:p w:rsidR="002D6570" w:rsidRDefault="002D6570" w:rsidP="002D6570">
      <w:r>
        <w:t>- Quotité d’affectation :</w:t>
      </w:r>
    </w:p>
    <w:p w:rsidR="002D6570" w:rsidRPr="00541B21" w:rsidRDefault="002D6570" w:rsidP="00541B21">
      <w:pPr>
        <w:jc w:val="both"/>
      </w:pPr>
      <w:r>
        <w:t>- Missions du poste :</w:t>
      </w:r>
      <w:r w:rsidR="00541B21">
        <w:t xml:space="preserve"> accompagnement collectif, individuel et/ou </w:t>
      </w:r>
      <w:r w:rsidR="00541B21" w:rsidRPr="00541B21">
        <w:t>mutualisé (rayer la mention inutile)</w:t>
      </w:r>
    </w:p>
    <w:p w:rsidR="00BD6F62" w:rsidRDefault="00BD6F62" w:rsidP="002D6570"/>
    <w:p w:rsidR="002D6570" w:rsidRPr="00BD6F62" w:rsidRDefault="002D6570" w:rsidP="002D6570">
      <w:pPr>
        <w:rPr>
          <w:b/>
          <w:u w:val="single"/>
        </w:rPr>
      </w:pPr>
      <w:r w:rsidRPr="00BD6F62">
        <w:rPr>
          <w:b/>
          <w:u w:val="single"/>
        </w:rPr>
        <w:t>2 - Évaluation de la période écoulée</w:t>
      </w:r>
    </w:p>
    <w:p w:rsidR="002D6570" w:rsidRDefault="002D6570" w:rsidP="003378BB">
      <w:pPr>
        <w:jc w:val="both"/>
      </w:pPr>
      <w:r>
        <w:t xml:space="preserve">2.1 Rappel des missions confiées à l’agent (indiquer si des démarches ou moyens spécifiques ont été mis en </w:t>
      </w:r>
      <w:r w:rsidR="00BD6F62">
        <w:t>œuvre</w:t>
      </w:r>
      <w:r>
        <w:t xml:space="preserve"> pour les réaliser)</w:t>
      </w: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570" w:rsidRDefault="002D6570" w:rsidP="003378BB">
      <w:pPr>
        <w:jc w:val="both"/>
      </w:pPr>
      <w:r>
        <w:t>2.2 Événements survenus au cours de la période écoulée ayant entraîné un impact sur l’activité (nouvelles orientations, réorganisations, nouvelles méthodes, nouveaux outils, etc.)</w:t>
      </w: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378BB" w:rsidRDefault="003378BB" w:rsidP="00337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378BB" w:rsidRDefault="003378BB" w:rsidP="003378BB">
      <w:pPr>
        <w:jc w:val="both"/>
      </w:pPr>
    </w:p>
    <w:p w:rsidR="002D6570" w:rsidRPr="003378BB" w:rsidRDefault="002D6570" w:rsidP="003378BB">
      <w:pPr>
        <w:jc w:val="both"/>
        <w:rPr>
          <w:b/>
          <w:u w:val="single"/>
        </w:rPr>
      </w:pPr>
      <w:r w:rsidRPr="003378BB">
        <w:rPr>
          <w:b/>
          <w:u w:val="single"/>
        </w:rPr>
        <w:t>3 - Valeur professionnelle et manière de servir de l’agent</w:t>
      </w:r>
    </w:p>
    <w:p w:rsidR="002D6570" w:rsidRDefault="002D6570" w:rsidP="003378BB">
      <w:pPr>
        <w:jc w:val="both"/>
      </w:pPr>
      <w:r>
        <w:t>3.1 Critères d’appréciation (annexe de l’arrêté du 27 juin 2014)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1134"/>
        <w:gridCol w:w="1134"/>
      </w:tblGrid>
      <w:tr w:rsidR="00E613C0" w:rsidTr="00E613C0">
        <w:tc>
          <w:tcPr>
            <w:tcW w:w="9493" w:type="dxa"/>
            <w:gridSpan w:val="5"/>
          </w:tcPr>
          <w:p w:rsidR="00E613C0" w:rsidRDefault="00E613C0" w:rsidP="00E613C0">
            <w:pPr>
              <w:jc w:val="center"/>
            </w:pPr>
            <w:r>
              <w:t>Compétences professionnelles et technicité</w:t>
            </w:r>
          </w:p>
        </w:tc>
      </w:tr>
      <w:tr w:rsidR="00E613C0" w:rsidTr="00C57450">
        <w:tc>
          <w:tcPr>
            <w:tcW w:w="4531" w:type="dxa"/>
          </w:tcPr>
          <w:p w:rsidR="00E613C0" w:rsidRDefault="00E613C0" w:rsidP="00C57450">
            <w:pPr>
              <w:jc w:val="center"/>
            </w:pPr>
          </w:p>
        </w:tc>
        <w:tc>
          <w:tcPr>
            <w:tcW w:w="1276" w:type="dxa"/>
          </w:tcPr>
          <w:p w:rsidR="00E613C0" w:rsidRDefault="00C57450" w:rsidP="00C57450">
            <w:pPr>
              <w:jc w:val="center"/>
            </w:pPr>
            <w:r>
              <w:t>A acquérir</w:t>
            </w:r>
          </w:p>
        </w:tc>
        <w:tc>
          <w:tcPr>
            <w:tcW w:w="1418" w:type="dxa"/>
          </w:tcPr>
          <w:p w:rsidR="00E613C0" w:rsidRDefault="00C57450" w:rsidP="00C57450">
            <w:pPr>
              <w:jc w:val="center"/>
            </w:pPr>
            <w:r>
              <w:t>A développer</w:t>
            </w:r>
          </w:p>
        </w:tc>
        <w:tc>
          <w:tcPr>
            <w:tcW w:w="1134" w:type="dxa"/>
          </w:tcPr>
          <w:p w:rsidR="00E613C0" w:rsidRDefault="00E613C0" w:rsidP="00C57450">
            <w:pPr>
              <w:jc w:val="center"/>
            </w:pPr>
            <w:r>
              <w:t>Maîtrise</w:t>
            </w:r>
          </w:p>
        </w:tc>
        <w:tc>
          <w:tcPr>
            <w:tcW w:w="1134" w:type="dxa"/>
          </w:tcPr>
          <w:p w:rsidR="00E613C0" w:rsidRDefault="00C57450" w:rsidP="00C57450">
            <w:pPr>
              <w:jc w:val="center"/>
            </w:pPr>
            <w:r>
              <w:t>Expert</w:t>
            </w: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maîtrise technique de l'accompagnement d'élèves en situation de handicap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implication dans l'actualisation de ses connaissances professionnelles, volonté de s'informer et de se former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connaissance de l'environnement professionnel et capacité à s'y situer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capacité d'anticipation et d'innovation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capacité d'analyse, de synthèse et de résolution des problèmes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qualités d'expression écrite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E613C0">
            <w:r>
              <w:t>qualités d'expression orale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</w:tbl>
    <w:p w:rsidR="00E613C0" w:rsidRDefault="00E613C0" w:rsidP="003378BB">
      <w:pPr>
        <w:jc w:val="both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1134"/>
        <w:gridCol w:w="1134"/>
      </w:tblGrid>
      <w:tr w:rsidR="00E613C0" w:rsidTr="0079201F">
        <w:tc>
          <w:tcPr>
            <w:tcW w:w="9493" w:type="dxa"/>
            <w:gridSpan w:val="5"/>
          </w:tcPr>
          <w:p w:rsidR="00E613C0" w:rsidRDefault="00E613C0" w:rsidP="0079201F">
            <w:pPr>
              <w:jc w:val="center"/>
            </w:pPr>
            <w:r>
              <w:t>Contribution à l’activité du service</w:t>
            </w:r>
          </w:p>
        </w:tc>
      </w:tr>
      <w:tr w:rsidR="00C57450" w:rsidTr="00C57450">
        <w:tc>
          <w:tcPr>
            <w:tcW w:w="4531" w:type="dxa"/>
          </w:tcPr>
          <w:p w:rsidR="00E613C0" w:rsidRDefault="00E613C0" w:rsidP="00C57450">
            <w:pPr>
              <w:jc w:val="center"/>
            </w:pPr>
          </w:p>
        </w:tc>
        <w:tc>
          <w:tcPr>
            <w:tcW w:w="1276" w:type="dxa"/>
          </w:tcPr>
          <w:p w:rsidR="00E613C0" w:rsidRDefault="00C57450" w:rsidP="00C57450">
            <w:pPr>
              <w:jc w:val="center"/>
            </w:pPr>
            <w:r>
              <w:t>A acquérir</w:t>
            </w:r>
          </w:p>
        </w:tc>
        <w:tc>
          <w:tcPr>
            <w:tcW w:w="1418" w:type="dxa"/>
          </w:tcPr>
          <w:p w:rsidR="00E613C0" w:rsidRDefault="00C57450" w:rsidP="00C57450">
            <w:pPr>
              <w:jc w:val="center"/>
            </w:pPr>
            <w:r>
              <w:t>A développer</w:t>
            </w:r>
          </w:p>
        </w:tc>
        <w:tc>
          <w:tcPr>
            <w:tcW w:w="1134" w:type="dxa"/>
          </w:tcPr>
          <w:p w:rsidR="00E613C0" w:rsidRDefault="00C57450" w:rsidP="00C57450">
            <w:pPr>
              <w:jc w:val="center"/>
            </w:pPr>
            <w:r>
              <w:t>Maîtrise</w:t>
            </w:r>
          </w:p>
        </w:tc>
        <w:tc>
          <w:tcPr>
            <w:tcW w:w="1134" w:type="dxa"/>
          </w:tcPr>
          <w:p w:rsidR="00E613C0" w:rsidRDefault="00C57450" w:rsidP="00C57450">
            <w:pPr>
              <w:jc w:val="center"/>
            </w:pPr>
            <w:r>
              <w:t>Expert</w:t>
            </w: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capacité à partager l'information, à transférer les connaissances et à rendre compte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dynamisme et capacité à réagir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sens des responsabilités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capacité de travail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capacité à s'investir dans des projets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sens du service public et conscience professionnelle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C57450" w:rsidTr="00C57450">
        <w:tc>
          <w:tcPr>
            <w:tcW w:w="4531" w:type="dxa"/>
          </w:tcPr>
          <w:p w:rsidR="00E613C0" w:rsidRDefault="00E613C0" w:rsidP="0079201F">
            <w:r>
              <w:t>capacité à respecter l'organisation collective du travail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79201F">
            <w:r>
              <w:t xml:space="preserve">rigueur et efficacité </w:t>
            </w:r>
            <w:r w:rsidRPr="00C57450">
              <w:rPr>
                <w:sz w:val="18"/>
                <w:szCs w:val="18"/>
              </w:rPr>
              <w:t>(fiabilité et qualité du travail effectué, respect des délais, des normes et des procédures, sens de l'organisation, sens de la méthode, attention portée à la qualité du service rendu)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E613C0" w:rsidP="0079201F">
            <w:r>
              <w:t>contribution au respect des règles d'hygiène et de sécurité</w:t>
            </w:r>
          </w:p>
        </w:tc>
        <w:tc>
          <w:tcPr>
            <w:tcW w:w="1276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E613C0">
            <w:pPr>
              <w:jc w:val="center"/>
            </w:pPr>
          </w:p>
        </w:tc>
      </w:tr>
    </w:tbl>
    <w:p w:rsidR="002D6570" w:rsidRDefault="002D6570" w:rsidP="003378BB">
      <w:pPr>
        <w:jc w:val="both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1134"/>
        <w:gridCol w:w="1134"/>
      </w:tblGrid>
      <w:tr w:rsidR="00E613C0" w:rsidTr="0079201F">
        <w:tc>
          <w:tcPr>
            <w:tcW w:w="9493" w:type="dxa"/>
            <w:gridSpan w:val="5"/>
          </w:tcPr>
          <w:p w:rsidR="00E613C0" w:rsidRDefault="00E613C0" w:rsidP="0079201F">
            <w:pPr>
              <w:jc w:val="center"/>
            </w:pPr>
            <w:r>
              <w:t>Compétence</w:t>
            </w:r>
            <w:r w:rsidR="00C57450">
              <w:t>s professionnelles et relationnelles</w:t>
            </w:r>
          </w:p>
        </w:tc>
      </w:tr>
      <w:tr w:rsidR="00E613C0" w:rsidTr="00C57450">
        <w:tc>
          <w:tcPr>
            <w:tcW w:w="4531" w:type="dxa"/>
          </w:tcPr>
          <w:p w:rsidR="00E613C0" w:rsidRDefault="00E613C0" w:rsidP="00C57450">
            <w:pPr>
              <w:jc w:val="center"/>
            </w:pPr>
          </w:p>
        </w:tc>
        <w:tc>
          <w:tcPr>
            <w:tcW w:w="1276" w:type="dxa"/>
          </w:tcPr>
          <w:p w:rsidR="00E613C0" w:rsidRDefault="00C57450" w:rsidP="00C57450">
            <w:pPr>
              <w:jc w:val="center"/>
            </w:pPr>
            <w:r>
              <w:t>A acquérir</w:t>
            </w:r>
          </w:p>
        </w:tc>
        <w:tc>
          <w:tcPr>
            <w:tcW w:w="1418" w:type="dxa"/>
          </w:tcPr>
          <w:p w:rsidR="00E613C0" w:rsidRDefault="00C57450" w:rsidP="00C57450">
            <w:pPr>
              <w:jc w:val="center"/>
            </w:pPr>
            <w:r>
              <w:t>A développer</w:t>
            </w:r>
          </w:p>
        </w:tc>
        <w:tc>
          <w:tcPr>
            <w:tcW w:w="1134" w:type="dxa"/>
          </w:tcPr>
          <w:p w:rsidR="00E613C0" w:rsidRDefault="00C57450" w:rsidP="00C57450">
            <w:pPr>
              <w:jc w:val="center"/>
            </w:pPr>
            <w:r>
              <w:t>Maîtrise</w:t>
            </w:r>
          </w:p>
        </w:tc>
        <w:tc>
          <w:tcPr>
            <w:tcW w:w="1134" w:type="dxa"/>
          </w:tcPr>
          <w:p w:rsidR="00E613C0" w:rsidRDefault="00C57450" w:rsidP="00C57450">
            <w:pPr>
              <w:jc w:val="center"/>
            </w:pPr>
            <w:r>
              <w:t>Expert</w:t>
            </w:r>
          </w:p>
        </w:tc>
      </w:tr>
      <w:tr w:rsidR="00E613C0" w:rsidTr="00C57450">
        <w:tc>
          <w:tcPr>
            <w:tcW w:w="4531" w:type="dxa"/>
          </w:tcPr>
          <w:p w:rsidR="00E613C0" w:rsidRDefault="00C57450" w:rsidP="0079201F">
            <w:r>
              <w:t>autonomie, discernement et sens des initiatives dans l'exercice de ses attributions</w:t>
            </w:r>
          </w:p>
        </w:tc>
        <w:tc>
          <w:tcPr>
            <w:tcW w:w="1276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C57450" w:rsidP="0079201F">
            <w:r>
              <w:t>capacité d'adaptation</w:t>
            </w:r>
          </w:p>
        </w:tc>
        <w:tc>
          <w:tcPr>
            <w:tcW w:w="1276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C57450" w:rsidP="0079201F">
            <w:r>
              <w:t>capacité à travailler en équipe</w:t>
            </w:r>
          </w:p>
        </w:tc>
        <w:tc>
          <w:tcPr>
            <w:tcW w:w="1276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</w:tr>
      <w:tr w:rsidR="00E613C0" w:rsidTr="00C57450">
        <w:tc>
          <w:tcPr>
            <w:tcW w:w="4531" w:type="dxa"/>
          </w:tcPr>
          <w:p w:rsidR="00E613C0" w:rsidRDefault="00C57450" w:rsidP="0079201F">
            <w:r>
              <w:t>aptitudes relationnelles (</w:t>
            </w:r>
            <w:r w:rsidRPr="00C57450">
              <w:rPr>
                <w:sz w:val="18"/>
                <w:szCs w:val="18"/>
              </w:rPr>
              <w:t>avec le public et dans l'environnement professionnel</w:t>
            </w:r>
            <w:r>
              <w:t>), notamment maîtrise de soi</w:t>
            </w:r>
          </w:p>
        </w:tc>
        <w:tc>
          <w:tcPr>
            <w:tcW w:w="1276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13C0" w:rsidRDefault="00E613C0" w:rsidP="0079201F">
            <w:pPr>
              <w:jc w:val="center"/>
            </w:pPr>
          </w:p>
        </w:tc>
      </w:tr>
    </w:tbl>
    <w:p w:rsidR="00C57450" w:rsidRDefault="00C57450" w:rsidP="003378BB">
      <w:pPr>
        <w:jc w:val="both"/>
      </w:pPr>
    </w:p>
    <w:p w:rsidR="00C57450" w:rsidRDefault="00C57450" w:rsidP="003378BB">
      <w:pPr>
        <w:jc w:val="both"/>
      </w:pPr>
    </w:p>
    <w:p w:rsidR="002D6570" w:rsidRDefault="002D6570" w:rsidP="003378BB">
      <w:pPr>
        <w:jc w:val="both"/>
      </w:pPr>
      <w:r>
        <w:t>3.2 Appréciation générale sur la valeur professionnelle, la manière de servir et la réalisation des objectifs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134"/>
        <w:gridCol w:w="1129"/>
      </w:tblGrid>
      <w:tr w:rsidR="00C57450" w:rsidTr="00E26770">
        <w:tc>
          <w:tcPr>
            <w:tcW w:w="4106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276" w:type="dxa"/>
          </w:tcPr>
          <w:p w:rsidR="00C57450" w:rsidRDefault="00C57450" w:rsidP="00E26770">
            <w:pPr>
              <w:jc w:val="center"/>
            </w:pPr>
            <w:r>
              <w:t>À acquérir</w:t>
            </w:r>
          </w:p>
        </w:tc>
        <w:tc>
          <w:tcPr>
            <w:tcW w:w="1417" w:type="dxa"/>
          </w:tcPr>
          <w:p w:rsidR="00C57450" w:rsidRDefault="00C57450" w:rsidP="00E26770">
            <w:pPr>
              <w:jc w:val="center"/>
            </w:pPr>
            <w:r>
              <w:t>À développer</w:t>
            </w:r>
          </w:p>
        </w:tc>
        <w:tc>
          <w:tcPr>
            <w:tcW w:w="1134" w:type="dxa"/>
          </w:tcPr>
          <w:p w:rsidR="00C57450" w:rsidRDefault="00C57450" w:rsidP="00E26770">
            <w:pPr>
              <w:jc w:val="center"/>
            </w:pPr>
            <w:r>
              <w:t>Maitrise</w:t>
            </w:r>
          </w:p>
        </w:tc>
        <w:tc>
          <w:tcPr>
            <w:tcW w:w="1129" w:type="dxa"/>
          </w:tcPr>
          <w:p w:rsidR="00C57450" w:rsidRDefault="00C57450" w:rsidP="00E26770">
            <w:pPr>
              <w:jc w:val="center"/>
            </w:pPr>
            <w:r>
              <w:t>Expert</w:t>
            </w:r>
          </w:p>
        </w:tc>
      </w:tr>
      <w:tr w:rsidR="00C57450" w:rsidTr="00E26770">
        <w:tc>
          <w:tcPr>
            <w:tcW w:w="4106" w:type="dxa"/>
          </w:tcPr>
          <w:p w:rsidR="00C57450" w:rsidRDefault="00E26770" w:rsidP="00E26770">
            <w:pPr>
              <w:jc w:val="both"/>
            </w:pPr>
            <w:r>
              <w:t>Compétences professionnelles et technicité</w:t>
            </w:r>
          </w:p>
        </w:tc>
        <w:tc>
          <w:tcPr>
            <w:tcW w:w="1276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417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34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29" w:type="dxa"/>
          </w:tcPr>
          <w:p w:rsidR="00C57450" w:rsidRDefault="00C57450" w:rsidP="00E26770">
            <w:pPr>
              <w:jc w:val="center"/>
            </w:pPr>
          </w:p>
        </w:tc>
      </w:tr>
      <w:tr w:rsidR="00C57450" w:rsidTr="00E26770">
        <w:tc>
          <w:tcPr>
            <w:tcW w:w="4106" w:type="dxa"/>
          </w:tcPr>
          <w:p w:rsidR="00C57450" w:rsidRDefault="00E26770" w:rsidP="00E26770">
            <w:pPr>
              <w:jc w:val="both"/>
            </w:pPr>
            <w:r>
              <w:t>Contribution à l’activité du service</w:t>
            </w:r>
          </w:p>
        </w:tc>
        <w:tc>
          <w:tcPr>
            <w:tcW w:w="1276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417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34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29" w:type="dxa"/>
          </w:tcPr>
          <w:p w:rsidR="00C57450" w:rsidRDefault="00C57450" w:rsidP="00E26770">
            <w:pPr>
              <w:jc w:val="center"/>
            </w:pPr>
          </w:p>
        </w:tc>
      </w:tr>
      <w:tr w:rsidR="00C57450" w:rsidTr="00E26770">
        <w:tc>
          <w:tcPr>
            <w:tcW w:w="4106" w:type="dxa"/>
          </w:tcPr>
          <w:p w:rsidR="00C57450" w:rsidRDefault="00E26770" w:rsidP="00E26770">
            <w:pPr>
              <w:jc w:val="both"/>
            </w:pPr>
            <w:r>
              <w:t>Capacités professionnelles et relationnelles</w:t>
            </w:r>
          </w:p>
        </w:tc>
        <w:tc>
          <w:tcPr>
            <w:tcW w:w="1276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417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34" w:type="dxa"/>
          </w:tcPr>
          <w:p w:rsidR="00C57450" w:rsidRDefault="00C57450" w:rsidP="00E26770">
            <w:pPr>
              <w:jc w:val="center"/>
            </w:pPr>
          </w:p>
        </w:tc>
        <w:tc>
          <w:tcPr>
            <w:tcW w:w="1129" w:type="dxa"/>
          </w:tcPr>
          <w:p w:rsidR="00C57450" w:rsidRDefault="00C57450" w:rsidP="00E26770">
            <w:pPr>
              <w:jc w:val="center"/>
            </w:pPr>
          </w:p>
        </w:tc>
      </w:tr>
    </w:tbl>
    <w:p w:rsidR="00C57450" w:rsidRDefault="00C57450" w:rsidP="003378BB">
      <w:pPr>
        <w:jc w:val="both"/>
      </w:pPr>
    </w:p>
    <w:p w:rsidR="002D6570" w:rsidRPr="00CB76DC" w:rsidRDefault="002D6570" w:rsidP="003378BB">
      <w:pPr>
        <w:jc w:val="both"/>
        <w:rPr>
          <w:u w:val="single"/>
        </w:rPr>
      </w:pPr>
      <w:r w:rsidRPr="00CB76DC">
        <w:rPr>
          <w:u w:val="single"/>
        </w:rPr>
        <w:t>Appréciation finale</w:t>
      </w:r>
      <w:r w:rsidR="00CB76DC" w:rsidRPr="00CB76DC">
        <w:rPr>
          <w:u w:val="single"/>
        </w:rPr>
        <w:t> :</w:t>
      </w:r>
      <w:r w:rsidR="00CB76DC" w:rsidRPr="00CB76DC">
        <w:rPr>
          <w:u w:val="single"/>
        </w:rPr>
        <w:tab/>
      </w:r>
      <w:r w:rsidR="00CB76DC" w:rsidRPr="00CB76DC">
        <w:rPr>
          <w:u w:val="single"/>
        </w:rPr>
        <w:tab/>
      </w:r>
      <w:r w:rsidR="00CB76DC" w:rsidRPr="00CB76DC">
        <w:rPr>
          <w:u w:val="single"/>
        </w:rPr>
        <w:tab/>
      </w:r>
      <w:r w:rsidR="00CB76DC" w:rsidRPr="00CB76DC">
        <w:rPr>
          <w:u w:val="single"/>
        </w:rPr>
        <w:tab/>
      </w:r>
    </w:p>
    <w:p w:rsidR="00CB76DC" w:rsidRDefault="00CB76DC" w:rsidP="003378BB">
      <w:pPr>
        <w:jc w:val="both"/>
      </w:pPr>
    </w:p>
    <w:p w:rsidR="002D6570" w:rsidRPr="00CB76DC" w:rsidRDefault="002D6570" w:rsidP="003378BB">
      <w:pPr>
        <w:jc w:val="both"/>
        <w:rPr>
          <w:b/>
          <w:u w:val="single"/>
        </w:rPr>
      </w:pPr>
      <w:r w:rsidRPr="00CB76DC">
        <w:rPr>
          <w:b/>
          <w:u w:val="single"/>
        </w:rPr>
        <w:t>4 - Acquis de l’expérience professionnelle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570" w:rsidRPr="00CB76DC" w:rsidRDefault="002D6570" w:rsidP="003378BB">
      <w:pPr>
        <w:jc w:val="both"/>
        <w:rPr>
          <w:b/>
          <w:u w:val="single"/>
        </w:rPr>
      </w:pPr>
      <w:r w:rsidRPr="00CB76DC">
        <w:rPr>
          <w:b/>
          <w:u w:val="single"/>
        </w:rPr>
        <w:t>5 - Évolutions des missions envisagées pour la nouvelle période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Nouvelles missions attendues :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Formations envisagées pour améliorer l’adaptation au poste de travail :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570" w:rsidRPr="00CB76DC" w:rsidRDefault="002D6570" w:rsidP="003378BB">
      <w:pPr>
        <w:jc w:val="both"/>
        <w:rPr>
          <w:b/>
          <w:u w:val="single"/>
        </w:rPr>
      </w:pPr>
      <w:r w:rsidRPr="00CB76DC">
        <w:rPr>
          <w:b/>
          <w:u w:val="single"/>
        </w:rPr>
        <w:t>6 - Perspectives d’évolution professionnelle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Evolution des activités :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Evolution professionnelle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Formations souhaitées par l’agent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570" w:rsidRPr="00CB76DC" w:rsidRDefault="002D6570" w:rsidP="003378BB">
      <w:pPr>
        <w:jc w:val="both"/>
        <w:rPr>
          <w:b/>
          <w:u w:val="single"/>
        </w:rPr>
      </w:pPr>
      <w:r w:rsidRPr="00CB76DC">
        <w:rPr>
          <w:b/>
          <w:u w:val="single"/>
        </w:rPr>
        <w:t>7 - Signature du supérieur hiérarchique direct</w:t>
      </w:r>
    </w:p>
    <w:p w:rsidR="002D6570" w:rsidRDefault="002D6570" w:rsidP="003378BB">
      <w:pPr>
        <w:jc w:val="both"/>
      </w:pPr>
      <w:r>
        <w:t>Date de transmission du compte rendu :</w:t>
      </w:r>
    </w:p>
    <w:p w:rsidR="002D6570" w:rsidRDefault="002D6570" w:rsidP="003378BB">
      <w:pPr>
        <w:jc w:val="both"/>
      </w:pPr>
      <w:r>
        <w:t>Nom, qualité et signature du responsable hiérarchique :</w:t>
      </w:r>
    </w:p>
    <w:p w:rsidR="002D6570" w:rsidRPr="00CB76DC" w:rsidRDefault="002D6570" w:rsidP="003378BB">
      <w:pPr>
        <w:jc w:val="both"/>
        <w:rPr>
          <w:b/>
          <w:u w:val="single"/>
        </w:rPr>
      </w:pPr>
      <w:r w:rsidRPr="00CB76DC">
        <w:rPr>
          <w:b/>
          <w:u w:val="single"/>
        </w:rPr>
        <w:t>8 - Observations de l’agent sur son évaluation</w:t>
      </w:r>
      <w:r w:rsidR="00CB76DC" w:rsidRPr="00CB76DC">
        <w:rPr>
          <w:b/>
          <w:u w:val="single"/>
        </w:rPr>
        <w:t xml:space="preserve"> (sur l’entretien, le compte rendu et sur les perspectives de mobilité</w:t>
      </w: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76DC" w:rsidRDefault="00CB76DC" w:rsidP="00CB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76DC" w:rsidTr="00CB76DC">
        <w:tc>
          <w:tcPr>
            <w:tcW w:w="4531" w:type="dxa"/>
          </w:tcPr>
          <w:p w:rsidR="00CB76DC" w:rsidRPr="00CB76DC" w:rsidRDefault="00CB76DC" w:rsidP="00CB76DC">
            <w:pPr>
              <w:jc w:val="both"/>
              <w:rPr>
                <w:u w:val="single"/>
              </w:rPr>
            </w:pPr>
            <w:r w:rsidRPr="00CB76DC">
              <w:rPr>
                <w:u w:val="single"/>
              </w:rPr>
              <w:t>Signature de l’autorité hiérarchique</w:t>
            </w: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  <w:r>
              <w:t>Date :</w:t>
            </w: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  <w:r>
              <w:t>Nom, qualité et signature de l’autorité hiérarchique :</w:t>
            </w: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</w:p>
          <w:p w:rsidR="00CB76DC" w:rsidRDefault="00CB76DC" w:rsidP="003378BB">
            <w:pPr>
              <w:jc w:val="both"/>
            </w:pPr>
          </w:p>
        </w:tc>
        <w:tc>
          <w:tcPr>
            <w:tcW w:w="4531" w:type="dxa"/>
          </w:tcPr>
          <w:p w:rsidR="00CB76DC" w:rsidRPr="00CB76DC" w:rsidRDefault="00CB76DC" w:rsidP="00CB76DC">
            <w:pPr>
              <w:jc w:val="both"/>
              <w:rPr>
                <w:u w:val="single"/>
              </w:rPr>
            </w:pPr>
            <w:r w:rsidRPr="00CB76DC">
              <w:rPr>
                <w:u w:val="single"/>
              </w:rPr>
              <w:t>Signature de l’agent</w:t>
            </w: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  <w:r>
              <w:t>Date :</w:t>
            </w:r>
          </w:p>
          <w:p w:rsidR="00CB76DC" w:rsidRDefault="00CB76DC" w:rsidP="00CB76DC">
            <w:pPr>
              <w:jc w:val="both"/>
            </w:pPr>
          </w:p>
          <w:p w:rsidR="00CB76DC" w:rsidRDefault="00CB76DC" w:rsidP="00CB76DC">
            <w:pPr>
              <w:jc w:val="both"/>
            </w:pPr>
            <w:r>
              <w:t>Signature :</w:t>
            </w:r>
          </w:p>
          <w:p w:rsidR="00CB76DC" w:rsidRDefault="00CB76DC" w:rsidP="003378BB">
            <w:pPr>
              <w:jc w:val="both"/>
            </w:pPr>
          </w:p>
        </w:tc>
      </w:tr>
    </w:tbl>
    <w:p w:rsidR="00CB76DC" w:rsidRDefault="00CB76DC" w:rsidP="003378BB">
      <w:pPr>
        <w:jc w:val="both"/>
      </w:pP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La date et la signature ont pour seul objet de témoigner de la tenue de l’entretien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Modalités de recours :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- Recours spécifique (article 9 du décret n° 2014-724 du 27 juin 2014)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L’agent peut saisir l’autorité hiérarchique d’une demande de révision de son compte rendu d’entretien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professionnel. Ce recours hiérarchique doit être exercé dans le délai de quinze jours francs suivant la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notification du compte rendu d’entretien professionnel.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La réponse de l’autorité hiérarchique doit être notifiée dans un délai de quinze jours francs à compter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de la date de réception de la demande de révision du compte rendu de l’entretien professionnel.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À compter de la date de la notification de cette réponse l’agent peut saisir la commission consultative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paritaire dans un délai d'un mois. Le recours hiérarchique est le préalable obligatoire à la saisine de la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commission consultative paritaire.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- Recours de droit commun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L’agent qui souhaite contester son compte rendu d’entretien professionnel peut exercer un recours de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droit commun devant le juge administratif dans les deux mois suivant la notification du compte rendu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de l’entretien professionnel, sans exercer de recours gracieux ou hiérarchique ou après avoir exercé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un recours administratif de droit commun (gracieux ou hiérarchique).</w:t>
      </w:r>
    </w:p>
    <w:p w:rsidR="002D6570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Il peut enfin saisir le juge administratif à l’issue de la procédure spécifique définie par l’article 9 précité.</w:t>
      </w:r>
    </w:p>
    <w:p w:rsidR="0072175F" w:rsidRPr="00CB76DC" w:rsidRDefault="002D6570" w:rsidP="00CB76DC">
      <w:pPr>
        <w:jc w:val="both"/>
        <w:rPr>
          <w:sz w:val="20"/>
          <w:szCs w:val="20"/>
        </w:rPr>
      </w:pPr>
      <w:r w:rsidRPr="00CB76DC">
        <w:rPr>
          <w:sz w:val="20"/>
          <w:szCs w:val="20"/>
        </w:rPr>
        <w:t>Le délai de recours contentieux, suspendu durant cette procédure, repart à compter de la notification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de la décision finale de l’administration faisant suite à l’avis rendu par la commission consultative</w:t>
      </w:r>
      <w:r w:rsidR="00CB76DC">
        <w:rPr>
          <w:sz w:val="20"/>
          <w:szCs w:val="20"/>
        </w:rPr>
        <w:t xml:space="preserve"> </w:t>
      </w:r>
      <w:r w:rsidRPr="00CB76DC">
        <w:rPr>
          <w:sz w:val="20"/>
          <w:szCs w:val="20"/>
        </w:rPr>
        <w:t>paritaire.</w:t>
      </w:r>
    </w:p>
    <w:sectPr w:rsidR="0072175F" w:rsidRPr="00CB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70"/>
    <w:rsid w:val="002D6570"/>
    <w:rsid w:val="003378BB"/>
    <w:rsid w:val="00541B21"/>
    <w:rsid w:val="0072175F"/>
    <w:rsid w:val="009471FF"/>
    <w:rsid w:val="00BD6F62"/>
    <w:rsid w:val="00C225CF"/>
    <w:rsid w:val="00C57450"/>
    <w:rsid w:val="00CB76DC"/>
    <w:rsid w:val="00E26770"/>
    <w:rsid w:val="00E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533"/>
  <w15:chartTrackingRefBased/>
  <w15:docId w15:val="{174C9EB2-0DBB-4EAD-B8D8-5474ADF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SEGUIGNES CINDIE</dc:creator>
  <cp:keywords/>
  <dc:description/>
  <cp:lastModifiedBy>SEGUIGNES CINDIE</cp:lastModifiedBy>
  <cp:revision>6</cp:revision>
  <dcterms:created xsi:type="dcterms:W3CDTF">2022-02-13T16:14:00Z</dcterms:created>
  <dcterms:modified xsi:type="dcterms:W3CDTF">2022-02-13T20:22:00Z</dcterms:modified>
</cp:coreProperties>
</file>